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обязательствах обслуживаемых учреждений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Look w:val="00A0"/>
      </w:tblPr>
      <w:tblGrid>
        <w:gridCol w:w="2683"/>
        <w:gridCol w:w="6666"/>
        <w:gridCol w:w="222"/>
      </w:tblGrid>
      <w:tr w:rsidR="00102862" w:rsidRPr="00404936" w:rsidTr="007B1ACF">
        <w:tc>
          <w:tcPr>
            <w:tcW w:w="8901" w:type="dxa"/>
            <w:gridSpan w:val="2"/>
          </w:tcPr>
          <w:tbl>
            <w:tblPr>
              <w:tblW w:w="9639" w:type="dxa"/>
              <w:tblLook w:val="00A0"/>
            </w:tblPr>
            <w:tblGrid>
              <w:gridCol w:w="2114"/>
              <w:gridCol w:w="7525"/>
            </w:tblGrid>
            <w:tr w:rsidR="00102862" w:rsidRPr="00B36982" w:rsidTr="007B1ACF">
              <w:trPr>
                <w:trHeight w:val="1842"/>
              </w:trPr>
              <w:tc>
                <w:tcPr>
                  <w:tcW w:w="2114" w:type="dxa"/>
                </w:tcPr>
                <w:p w:rsidR="00102862" w:rsidRPr="00B36982" w:rsidRDefault="00102862" w:rsidP="00FF171E">
                  <w:pPr>
                    <w:pStyle w:val="msonormalbullet2gif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36982">
                    <w:rPr>
                      <w:sz w:val="28"/>
                      <w:szCs w:val="28"/>
                    </w:rPr>
                    <w:lastRenderedPageBreak/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7525" w:type="dxa"/>
                </w:tcPr>
                <w:p w:rsidR="007B1ACF" w:rsidRDefault="00102862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Всего на 2015-2021 годы –</w:t>
                  </w:r>
                  <w:r w:rsidR="007B1A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506360,8 </w:t>
                  </w: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тыс. руб., из них по годам:</w:t>
                  </w:r>
                </w:p>
                <w:p w:rsidR="007B1ACF" w:rsidRDefault="007B1ACF" w:rsidP="007B1ACF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2015 год -  </w:t>
                  </w:r>
                  <w:r w:rsidRPr="00424885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74429,2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тыс. рублей;</w:t>
                  </w:r>
                </w:p>
                <w:p w:rsidR="007B1ACF" w:rsidRPr="007B1ACF" w:rsidRDefault="007B1ACF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2016 год -  71364,6 тыс. рублей;</w:t>
                  </w:r>
                </w:p>
              </w:tc>
            </w:tr>
          </w:tbl>
          <w:p w:rsidR="00102862" w:rsidRDefault="00102862"/>
        </w:tc>
        <w:tc>
          <w:tcPr>
            <w:tcW w:w="222" w:type="dxa"/>
          </w:tcPr>
          <w:p w:rsidR="00102862" w:rsidRDefault="00102862"/>
        </w:tc>
      </w:tr>
      <w:tr w:rsidR="007B1ACF" w:rsidRPr="00EA0668" w:rsidTr="007B1ACF">
        <w:tc>
          <w:tcPr>
            <w:tcW w:w="2376" w:type="dxa"/>
          </w:tcPr>
          <w:p w:rsidR="007B1ACF" w:rsidRPr="009B5311" w:rsidRDefault="007B1ACF" w:rsidP="007B1ACF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2"/>
          </w:tcPr>
          <w:p w:rsidR="007B1ACF" w:rsidRPr="00424885" w:rsidRDefault="007B1ACF" w:rsidP="007B1ACF">
            <w:pPr>
              <w:pStyle w:val="a3"/>
              <w:ind w:left="-415" w:firstLine="4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 год -  80390,2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70935,8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70935,8 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r>
              <w:rPr>
                <w:rFonts w:ascii="Times New Roman" w:hAnsi="Times New Roman"/>
                <w:sz w:val="28"/>
                <w:szCs w:val="28"/>
              </w:rPr>
              <w:t>дств местного бюджета – 463660,8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72221,4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67767,0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67767,0 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90A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90A70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7B1ACF">
              <w:rPr>
                <w:rFonts w:ascii="Times New Roman" w:hAnsi="Times New Roman"/>
                <w:sz w:val="28"/>
                <w:szCs w:val="28"/>
              </w:rPr>
              <w:t>– 28165,0 тыс. руб., в том числе по годам: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2017 год -  6933,2 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2018 год -      1933,2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1933,2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–111,0 тыс.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    55,0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    56,0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2017 год -        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     0,0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  0,0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0,0 тыс. рублей;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– 14424,0 тыс. руб., в том числе по годам: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2017 год -   1235,6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lastRenderedPageBreak/>
              <w:t>2019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1235,6 тыс. рублей;</w:t>
            </w:r>
          </w:p>
          <w:p w:rsidR="007B1ACF" w:rsidRPr="00790A70" w:rsidRDefault="007B1ACF" w:rsidP="007B1A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1235,6  тыс. рублей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ACF" w:rsidRPr="00404936" w:rsidRDefault="007B1ACF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"Культура, искусство и кинематография"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24 -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29 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1F0DAF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1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bookmarkEnd w:id="1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02"/>
      <w:r w:rsidRPr="00E56859">
        <w:rPr>
          <w:rFonts w:ascii="Times New Roman" w:hAnsi="Times New Roman" w:cs="Times New Roman"/>
          <w:sz w:val="28"/>
          <w:szCs w:val="28"/>
        </w:rPr>
        <w:lastRenderedPageBreak/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3"/>
      <w:bookmarkEnd w:id="14"/>
      <w:r w:rsidRPr="00E56859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04"/>
      <w:bookmarkEnd w:id="15"/>
      <w:r w:rsidRPr="00E56859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5"/>
      <w:r w:rsidRPr="00E56859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80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7"/>
      <w:r w:rsidRPr="00E56859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1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8"/>
      <w:r w:rsidRPr="00E56859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9"/>
      <w:bookmarkEnd w:id="20"/>
      <w:r w:rsidRPr="00E56859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r w:rsidR="00743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10"/>
      <w:r w:rsidRPr="00E56859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bookmarkEnd w:id="2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11"/>
      <w:r w:rsidRPr="00E56859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могут оцениваться наступление или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2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12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3"/>
      <w:r w:rsidRPr="00E56859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4"/>
      <w:r w:rsidRPr="00E56859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815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4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4A7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1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8.5. Оценка степени достижения целей и решения задач основных мероприятий</w:t>
      </w:r>
    </w:p>
    <w:bookmarkEnd w:id="2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7"/>
      <w:r w:rsidRPr="00E56859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основных мероприятий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8"/>
      <w:bookmarkEnd w:id="29"/>
      <w:r w:rsidRPr="00E56859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9"/>
      <w:r w:rsidRPr="00E56859">
        <w:rPr>
          <w:rFonts w:ascii="Times New Roman" w:hAnsi="Times New Roman" w:cs="Times New Roman"/>
          <w:sz w:val="28"/>
          <w:szCs w:val="28"/>
        </w:rPr>
        <w:t>8.5.3. Степень реализации подпрограммы основного мероприятия рассчитывается по формуле:</w:t>
      </w:r>
    </w:p>
    <w:bookmarkEnd w:id="3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2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основных мероприятий</w:t>
      </w:r>
    </w:p>
    <w:bookmarkEnd w:id="3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21"/>
      <w:r w:rsidRPr="00E56859">
        <w:rPr>
          <w:rFonts w:ascii="Times New Roman" w:hAnsi="Times New Roman" w:cs="Times New Roman"/>
          <w:sz w:val="28"/>
          <w:szCs w:val="28"/>
        </w:rPr>
        <w:t>8.6.1. Эффективность реализации основных мероприятий оценивается в зависимости от значений оценки степени реализации и оценки эффективности использования средств местного бюджета по следующей формуле:</w:t>
      </w:r>
    </w:p>
    <w:bookmarkEnd w:id="3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22"/>
      <w:r w:rsidRPr="00E56859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23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4"/>
      <w:r w:rsidRPr="00E56859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5"/>
      <w:bookmarkEnd w:id="36"/>
      <w:r w:rsidRPr="00E56859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6"/>
      <w:r w:rsidRPr="00E56859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827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нее подпрограмм (ведомственных целевых программ, основных мероприятий)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812"/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bookmarkEnd w:id="4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9"/>
      <w:r w:rsidRPr="00E56859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7B1ACF" w:rsidRPr="00790A70" w:rsidRDefault="007B1ACF" w:rsidP="007B1ACF">
      <w:pPr>
        <w:suppressAutoHyphens/>
        <w:jc w:val="center"/>
        <w:rPr>
          <w:rFonts w:ascii="Times New Roman" w:hAnsi="Times New Roman"/>
        </w:rPr>
      </w:pPr>
      <w:r w:rsidRPr="00790A70">
        <w:rPr>
          <w:rFonts w:ascii="Times New Roman" w:hAnsi="Times New Roman"/>
        </w:rPr>
        <w:t>Цели, задачи и целевые показатели муниципальной программы «Развитие культуры»</w:t>
      </w:r>
    </w:p>
    <w:p w:rsidR="007B1ACF" w:rsidRPr="00790A70" w:rsidRDefault="007B1ACF" w:rsidP="007B1ACF">
      <w:pPr>
        <w:suppressAutoHyphens/>
        <w:jc w:val="center"/>
        <w:rPr>
          <w:rFonts w:ascii="Times New Roman" w:hAnsi="Times New Roman"/>
        </w:rPr>
      </w:pP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054" w:rsidRPr="00D42054" w:rsidRDefault="00D42054" w:rsidP="00D42054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7B1ACF" w:rsidRPr="00D42054" w:rsidRDefault="007B1ACF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054" w:rsidRPr="00D42054" w:rsidRDefault="00D42054" w:rsidP="00D42054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7B1ACF" w:rsidRPr="00D42054" w:rsidRDefault="007B1ACF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2E71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790A70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790A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7B1ACF" w:rsidRDefault="00102862" w:rsidP="007B1ACF">
      <w:pPr>
        <w:suppressAutoHyphens/>
        <w:rPr>
          <w:rFonts w:ascii="Times New Roman" w:hAnsi="Times New Roman"/>
        </w:rPr>
      </w:pPr>
      <w:r w:rsidRPr="00790A70">
        <w:rPr>
          <w:rFonts w:ascii="Times New Roman" w:hAnsi="Times New Roman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>
        <w:rPr>
          <w:rFonts w:ascii="Times New Roman" w:hAnsi="Times New Roman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1ACF" w:rsidRPr="007B1ACF" w:rsidRDefault="007B1ACF" w:rsidP="007B1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7B1ACF" w:rsidTr="007B1ACF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Участ-ник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муни-ципа-льнойпрог-раммы</w:t>
            </w:r>
            <w:proofErr w:type="spellEnd"/>
          </w:p>
        </w:tc>
      </w:tr>
      <w:tr w:rsidR="007B1ACF" w:rsidTr="007B1ACF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2017 </w:t>
            </w:r>
          </w:p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B1ACF" w:rsidTr="007B1ACF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17120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2436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дос-тупности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культур-ного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активности</w:t>
            </w:r>
          </w:p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Кавказ-ского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вовлечение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насе-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процесс создания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культур-ного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жизнедеятель-ности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куль-туры</w:t>
            </w:r>
            <w:proofErr w:type="spellEnd"/>
            <w:proofErr w:type="gramEnd"/>
          </w:p>
        </w:tc>
      </w:tr>
      <w:tr w:rsidR="007B1ACF" w:rsidTr="007B1ACF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17120</w:t>
            </w:r>
            <w:r w:rsidRPr="00EA066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2436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№1.1 «Расходы на обеспечение функций органов местного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17120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EA0668">
              <w:rPr>
                <w:rFonts w:ascii="Times New Roman" w:hAnsi="Times New Roman"/>
                <w:bCs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2436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17120</w:t>
            </w:r>
            <w:r w:rsidRPr="00EA066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EA0668">
              <w:rPr>
                <w:rFonts w:ascii="Times New Roman" w:hAnsi="Times New Roman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2436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2400</w:t>
            </w:r>
            <w:r w:rsidRPr="00EA066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EA0668" w:rsidRDefault="007B1ACF" w:rsidP="007B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66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Tr="007B1ACF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Default="007B1ACF" w:rsidP="007B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ACF" w:rsidRDefault="007B1ACF" w:rsidP="007B1AC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1ACF" w:rsidRPr="00790A70" w:rsidTr="007B1ACF">
        <w:trPr>
          <w:trHeight w:val="412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Основное мероприятие № 2 «Реализация дополнительных </w:t>
            </w:r>
            <w:proofErr w:type="spellStart"/>
            <w:r w:rsidRPr="00BB12E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BB12E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377306,9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B12E0">
              <w:rPr>
                <w:rFonts w:ascii="Times New Roman" w:hAnsi="Times New Roman"/>
                <w:bCs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61043,9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ка-чества</w:t>
            </w:r>
            <w:proofErr w:type="spellEnd"/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расши-рение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Кавказ-ского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бюджетных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расхо-дов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Кавказ-</w:t>
            </w:r>
            <w:r w:rsidRPr="00BB12E0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Кавказ-ского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 -повышение </w:t>
            </w:r>
            <w:proofErr w:type="spellStart"/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привлекатель-ности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учреждения, подведомственные отделу культуры</w:t>
            </w:r>
          </w:p>
        </w:tc>
      </w:tr>
      <w:tr w:rsidR="007B1ACF" w:rsidRPr="00790A70" w:rsidTr="007B1ACF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343391,7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2E0">
              <w:rPr>
                <w:rFonts w:ascii="Times New Roman" w:hAnsi="Times New Roman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54658,3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20262,6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2E0">
              <w:rPr>
                <w:rFonts w:ascii="Times New Roman" w:hAnsi="Times New Roman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13652,6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2E0">
              <w:rPr>
                <w:rFonts w:ascii="Times New Roman" w:hAnsi="Times New Roman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BB12E0">
              <w:rPr>
                <w:rFonts w:ascii="Times New Roman" w:hAnsi="Times New Roman"/>
              </w:rPr>
              <w:lastRenderedPageBreak/>
              <w:t>культуры», в том числе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 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370126,2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54835,6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52235,6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342250,4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53600,0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</w:t>
            </w:r>
            <w:r w:rsidRPr="00BB12E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     13652,6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2.2 «Осуществление отдельных полномочий Краснодарского края на компенсацию расходов на оплату жилых помещений, отопления и освещения  </w:t>
            </w:r>
            <w:proofErr w:type="gramStart"/>
            <w:r w:rsidRPr="00BB12E0">
              <w:rPr>
                <w:rFonts w:ascii="Times New Roman" w:hAnsi="Times New Roman"/>
              </w:rPr>
              <w:t>педагогическим</w:t>
            </w:r>
            <w:proofErr w:type="gramEnd"/>
            <w:r w:rsidRPr="00BB12E0">
              <w:rPr>
                <w:rFonts w:ascii="Times New Roman" w:hAnsi="Times New Roman"/>
              </w:rPr>
              <w:t xml:space="preserve"> </w:t>
            </w:r>
            <w:proofErr w:type="spellStart"/>
            <w:r w:rsidRPr="00BB12E0">
              <w:rPr>
                <w:rFonts w:ascii="Times New Roman" w:hAnsi="Times New Roman"/>
              </w:rPr>
              <w:t>работ-никам</w:t>
            </w:r>
            <w:proofErr w:type="spellEnd"/>
            <w:r w:rsidRPr="00BB12E0">
              <w:rPr>
                <w:rFonts w:ascii="Times New Roman" w:hAnsi="Times New Roman"/>
              </w:rPr>
              <w:t xml:space="preserve">, муниципальных учреждений, </w:t>
            </w:r>
            <w:proofErr w:type="spellStart"/>
            <w:r w:rsidRPr="00BB12E0">
              <w:rPr>
                <w:rFonts w:ascii="Times New Roman" w:hAnsi="Times New Roman"/>
              </w:rPr>
              <w:t>прожива-ющим</w:t>
            </w:r>
            <w:proofErr w:type="spellEnd"/>
            <w:r w:rsidRPr="00BB12E0">
              <w:rPr>
                <w:rFonts w:ascii="Times New Roman" w:hAnsi="Times New Roman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2.3 «Компенсация расходов на оплату жилых помещений, отопления и освещения педагогическим работникам </w:t>
            </w:r>
            <w:r w:rsidRPr="00BB12E0">
              <w:rPr>
                <w:rFonts w:ascii="Times New Roman" w:hAnsi="Times New Roman"/>
              </w:rPr>
              <w:lastRenderedPageBreak/>
              <w:t>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 </w:t>
            </w:r>
          </w:p>
        </w:tc>
      </w:tr>
      <w:tr w:rsidR="007B1ACF" w:rsidRPr="00790A70" w:rsidTr="007B1ACF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2.5 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7B1ACF" w:rsidRPr="00BB12E0" w:rsidRDefault="007B1ACF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(капитальный ремонт здания МБУ ДО ДШИ </w:t>
            </w:r>
            <w:r w:rsidRPr="00BB12E0">
              <w:rPr>
                <w:rFonts w:ascii="Times New Roman" w:hAnsi="Times New Roman"/>
              </w:rPr>
              <w:lastRenderedPageBreak/>
              <w:t xml:space="preserve">ст. </w:t>
            </w:r>
            <w:proofErr w:type="gramStart"/>
            <w:r w:rsidRPr="00BB12E0">
              <w:rPr>
                <w:rFonts w:ascii="Times New Roman" w:hAnsi="Times New Roman"/>
              </w:rPr>
              <w:t>Кавказская</w:t>
            </w:r>
            <w:proofErr w:type="gramEnd"/>
            <w:r w:rsidRPr="00BB12E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D42054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D42054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D42054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D42054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7B1ACF" w:rsidRPr="00BB12E0" w:rsidRDefault="007B1ACF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</w:p>
        </w:tc>
      </w:tr>
      <w:tr w:rsidR="007B1ACF" w:rsidRPr="00790A70" w:rsidTr="007B1ACF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1ACF" w:rsidRPr="00790A7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19957,3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ACF" w:rsidRPr="00BB12E0" w:rsidRDefault="007B1ACF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ACF" w:rsidRPr="00BB12E0" w:rsidRDefault="007B1ACF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 повышение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B1ACF" w:rsidRPr="00790A70" w:rsidRDefault="007B1ACF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Учреждения, подведомственные отделу культуры</w:t>
            </w:r>
          </w:p>
        </w:tc>
      </w:tr>
      <w:tr w:rsidR="00D42054" w:rsidRPr="00790A70" w:rsidTr="00D42054">
        <w:trPr>
          <w:trHeight w:val="83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качества и расширение спектра </w:t>
            </w:r>
            <w:proofErr w:type="spellStart"/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бюджетных </w:t>
            </w:r>
            <w:proofErr w:type="spellStart"/>
            <w:r w:rsidRPr="00BB12E0">
              <w:rPr>
                <w:rFonts w:ascii="Times New Roman" w:hAnsi="Times New Roman"/>
                <w:sz w:val="20"/>
                <w:szCs w:val="20"/>
              </w:rPr>
              <w:t>расхо-дов</w:t>
            </w:r>
            <w:proofErr w:type="spell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BB12E0">
              <w:rPr>
                <w:rFonts w:ascii="Times New Roman" w:hAnsi="Times New Roman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BB12E0">
              <w:rPr>
                <w:rFonts w:ascii="Times New Roman" w:hAnsi="Times New Roman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lastRenderedPageBreak/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40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3.1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Учреждения, подведомственные отделу культуры</w:t>
            </w: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10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42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3.2 «Компенсация расходов на оплату жилых помещений, отопления </w:t>
            </w:r>
            <w:r w:rsidRPr="00BB12E0">
              <w:rPr>
                <w:rFonts w:ascii="Times New Roman" w:hAnsi="Times New Roman"/>
              </w:rPr>
              <w:lastRenderedPageBreak/>
              <w:t xml:space="preserve">и освещения </w:t>
            </w:r>
            <w:proofErr w:type="spellStart"/>
            <w:r w:rsidRPr="00BB12E0">
              <w:rPr>
                <w:rFonts w:ascii="Times New Roman" w:hAnsi="Times New Roman"/>
              </w:rPr>
              <w:t>работни-кам</w:t>
            </w:r>
            <w:proofErr w:type="spellEnd"/>
            <w:r w:rsidRPr="00BB12E0">
              <w:rPr>
                <w:rFonts w:ascii="Times New Roman" w:hAnsi="Times New Roman"/>
              </w:rPr>
              <w:t xml:space="preserve"> государственных и муниципальных учреждений, </w:t>
            </w:r>
            <w:proofErr w:type="gramStart"/>
            <w:r w:rsidRPr="00BB12E0">
              <w:rPr>
                <w:rFonts w:ascii="Times New Roman" w:hAnsi="Times New Roman"/>
              </w:rPr>
              <w:t>проживающим</w:t>
            </w:r>
            <w:proofErr w:type="gramEnd"/>
            <w:r w:rsidRPr="00BB12E0">
              <w:rPr>
                <w:rFonts w:ascii="Times New Roman" w:hAnsi="Times New Roman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6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13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4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50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D42054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D42054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Отдел  культуры</w:t>
            </w:r>
          </w:p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D42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3.4. «Осуществление полномочий по комплектованию книжных фондов библиотек поселений, переданных из поселений муниципального </w:t>
            </w:r>
            <w:r w:rsidRPr="00BB12E0">
              <w:rPr>
                <w:rFonts w:ascii="Times New Roman" w:hAnsi="Times New Roman"/>
              </w:rPr>
              <w:lastRenderedPageBreak/>
              <w:t>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</w:t>
            </w:r>
            <w:r w:rsidRPr="00BB12E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t>3.5</w:t>
            </w: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9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18672,9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3091,6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14617,1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560,4</w:t>
            </w:r>
          </w:p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6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lastRenderedPageBreak/>
              <w:t>4.1</w:t>
            </w: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</w:p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t>4.2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13866,4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2100,0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560,4</w:t>
            </w:r>
          </w:p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2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69729,2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10170,0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Учреждения, подведомственные отделу культу</w:t>
            </w:r>
            <w:r w:rsidRPr="00790A70">
              <w:rPr>
                <w:rFonts w:ascii="Times New Roman" w:hAnsi="Times New Roman"/>
              </w:rPr>
              <w:lastRenderedPageBreak/>
              <w:t>ры</w:t>
            </w:r>
          </w:p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 </w:t>
            </w: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68980,0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69729,2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68980,0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10170,0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46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F54214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F54214">
              <w:rPr>
                <w:rFonts w:ascii="Times New Roman" w:hAnsi="Times New Roman"/>
              </w:rPr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Отдел культуры</w:t>
            </w:r>
          </w:p>
        </w:tc>
      </w:tr>
      <w:tr w:rsidR="00D42054" w:rsidRPr="00790A70" w:rsidTr="007B1ACF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F54214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B12E0">
              <w:rPr>
                <w:rFonts w:ascii="Times New Roman" w:hAnsi="Times New Roman"/>
                <w:bCs/>
              </w:rPr>
              <w:t>506360,8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80390,2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69152,6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  <w:bCs/>
              </w:rPr>
            </w:pPr>
            <w:r w:rsidRPr="00BB12E0">
              <w:rPr>
                <w:rFonts w:ascii="Times New Roman" w:hAnsi="Times New Roman"/>
                <w:bCs/>
              </w:rPr>
              <w:t>69152,6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42054" w:rsidRPr="00790A7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 </w:t>
            </w: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463660,8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72221,4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67767,0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67767,0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28165,0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B12E0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BB12E0">
              <w:rPr>
                <w:rFonts w:ascii="Times New Roman" w:hAnsi="Times New Roman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  <w:tr w:rsidR="00D42054" w:rsidRPr="00790A70" w:rsidTr="007B1ACF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12E0">
              <w:rPr>
                <w:rFonts w:ascii="Times New Roman" w:hAnsi="Times New Roman"/>
              </w:rPr>
              <w:t>внебюджет</w:t>
            </w:r>
            <w:proofErr w:type="spellEnd"/>
            <w:r w:rsidRPr="00BB12E0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14424,0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jc w:val="center"/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1235,6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2054" w:rsidRPr="00BB12E0" w:rsidRDefault="00D42054" w:rsidP="007B1ACF">
            <w:pPr>
              <w:rPr>
                <w:rFonts w:ascii="Times New Roman" w:hAnsi="Times New Roman"/>
              </w:rPr>
            </w:pPr>
            <w:r w:rsidRPr="00BB12E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054" w:rsidRPr="00790A70" w:rsidRDefault="00D42054" w:rsidP="007B1ACF">
            <w:pPr>
              <w:rPr>
                <w:rFonts w:ascii="Times New Roman" w:hAnsi="Times New Roman"/>
              </w:rPr>
            </w:pPr>
          </w:p>
        </w:tc>
      </w:tr>
    </w:tbl>
    <w:p w:rsidR="007B1ACF" w:rsidRPr="00790A70" w:rsidRDefault="007B1ACF" w:rsidP="007B1ACF">
      <w:pPr>
        <w:rPr>
          <w:rFonts w:ascii="Times New Roman" w:hAnsi="Times New Roman"/>
          <w:szCs w:val="28"/>
        </w:rPr>
      </w:pPr>
    </w:p>
    <w:p w:rsidR="007B1ACF" w:rsidRPr="00790A70" w:rsidRDefault="007B1ACF" w:rsidP="007B1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790A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E71E6" w:rsidRDefault="007B1AC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</w:t>
      </w:r>
      <w:r w:rsidR="00BB12E0">
        <w:rPr>
          <w:rFonts w:ascii="Times New Roman" w:hAnsi="Times New Roman" w:cs="Times New Roman"/>
          <w:sz w:val="24"/>
          <w:szCs w:val="24"/>
        </w:rPr>
        <w:t>атова</w:t>
      </w: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B12E0" w:rsidTr="00D42054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BB12E0" w:rsidTr="00D42054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BB12E0" w:rsidTr="00D42054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  <w:iCs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2400,0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  <w:iCs/>
              </w:rPr>
              <w:t xml:space="preserve">Основное мероприятие №2 «Реализация дополнительных </w:t>
            </w:r>
            <w:proofErr w:type="spellStart"/>
            <w:r w:rsidRPr="00A43228">
              <w:rPr>
                <w:rFonts w:ascii="Times New Roman" w:hAnsi="Times New Roman"/>
                <w:iCs/>
              </w:rPr>
              <w:t>предпрофессиональных</w:t>
            </w:r>
            <w:proofErr w:type="spellEnd"/>
            <w:r w:rsidRPr="00A43228">
              <w:rPr>
                <w:rFonts w:ascii="Times New Roman" w:hAnsi="Times New Roman"/>
                <w:iCs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377306,9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61043,9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A43228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A43228">
              <w:rPr>
                <w:rFonts w:ascii="Times New Roman" w:hAnsi="Times New Roman"/>
                <w:bCs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A43228">
              <w:rPr>
                <w:rFonts w:ascii="Times New Roman" w:hAnsi="Times New Roman"/>
                <w:bCs/>
              </w:rPr>
              <w:t>52400,6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343391,7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54658,3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51015,0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20262,6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150,0</w:t>
            </w:r>
          </w:p>
        </w:tc>
      </w:tr>
      <w:tr w:rsidR="00BB12E0" w:rsidRPr="00EC11BC" w:rsidTr="00D42054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A43228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13652,6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2E0" w:rsidRPr="00A43228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A43228">
              <w:rPr>
                <w:rFonts w:ascii="Times New Roman" w:hAnsi="Times New Roman"/>
              </w:rPr>
              <w:t>1235,6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  <w:iCs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667526">
              <w:rPr>
                <w:rFonts w:ascii="Times New Roman" w:hAnsi="Times New Roman"/>
                <w:bCs/>
              </w:rPr>
              <w:t>19957,3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667526">
              <w:rPr>
                <w:rFonts w:ascii="Times New Roman" w:hAnsi="Times New Roman"/>
                <w:bCs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667526">
              <w:rPr>
                <w:rFonts w:ascii="Times New Roman" w:hAnsi="Times New Roman"/>
                <w:bCs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667526">
              <w:rPr>
                <w:rFonts w:ascii="Times New Roman" w:hAnsi="Times New Roman"/>
                <w:bCs/>
              </w:rPr>
              <w:t>3298,7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2217,2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15977,5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2217,0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  <w:iCs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18672,9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14617,1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2100,0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  <w:iCs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9700,0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  <w:iCs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</w:pPr>
            <w:r w:rsidRPr="00EC11BC">
              <w:rPr>
                <w:rFonts w:ascii="Times New Roman" w:hAnsi="Times New Roman"/>
              </w:rPr>
              <w:t>335,0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EC1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suppressAutoHyphens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506360,8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80390,2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0836D7">
              <w:rPr>
                <w:rFonts w:ascii="Times New Roman" w:hAnsi="Times New Roman"/>
                <w:bCs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69152,6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  <w:bCs/>
              </w:rPr>
            </w:pPr>
            <w:r w:rsidRPr="00EC11BC">
              <w:rPr>
                <w:rFonts w:ascii="Times New Roman" w:hAnsi="Times New Roman"/>
                <w:bCs/>
              </w:rPr>
              <w:t>69152,6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463660,8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72221,4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67767,0</w:t>
            </w:r>
          </w:p>
        </w:tc>
      </w:tr>
      <w:tr w:rsidR="00BB12E0" w:rsidRPr="00EC11BC" w:rsidTr="00D4205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28165,0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6933,2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150,0</w:t>
            </w:r>
          </w:p>
        </w:tc>
      </w:tr>
      <w:tr w:rsidR="00BB12E0" w:rsidRPr="00EC11BC" w:rsidTr="00D42054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0836D7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0836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0,0</w:t>
            </w:r>
          </w:p>
        </w:tc>
      </w:tr>
      <w:tr w:rsidR="00BB12E0" w:rsidRPr="00EC11BC" w:rsidTr="00D42054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11BC">
              <w:rPr>
                <w:rFonts w:ascii="Times New Roman" w:hAnsi="Times New Roman"/>
              </w:rPr>
              <w:t>внебюджет</w:t>
            </w:r>
            <w:proofErr w:type="spellEnd"/>
            <w:r w:rsidRPr="00EC11BC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14424,0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667526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667526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0" w:rsidRPr="00EC11BC" w:rsidRDefault="00BB12E0" w:rsidP="00D42054">
            <w:pPr>
              <w:jc w:val="center"/>
              <w:rPr>
                <w:rFonts w:ascii="Times New Roman" w:hAnsi="Times New Roman"/>
              </w:rPr>
            </w:pPr>
            <w:r w:rsidRPr="00EC11BC">
              <w:rPr>
                <w:rFonts w:ascii="Times New Roman" w:hAnsi="Times New Roman"/>
              </w:rPr>
              <w:t>1235,6</w:t>
            </w:r>
          </w:p>
        </w:tc>
      </w:tr>
    </w:tbl>
    <w:p w:rsidR="00BB12E0" w:rsidRPr="00EC11BC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8"/>
          <w:szCs w:val="28"/>
        </w:rPr>
      </w:pPr>
    </w:p>
    <w:p w:rsidR="00BB12E0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88" w:rsidRDefault="0087658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54" w:rsidRDefault="00D4205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BB12E0" w:rsidRPr="00090E36" w:rsidTr="00D42054">
        <w:tc>
          <w:tcPr>
            <w:tcW w:w="6204" w:type="dxa"/>
            <w:vMerge w:val="restart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2017 год, тыс. рублей</w:t>
            </w:r>
          </w:p>
        </w:tc>
      </w:tr>
      <w:tr w:rsidR="00BB12E0" w:rsidRPr="00090E36" w:rsidTr="00D42054">
        <w:tc>
          <w:tcPr>
            <w:tcW w:w="6204" w:type="dxa"/>
            <w:vMerge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905" w:type="dxa"/>
            <w:vMerge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3905" w:type="dxa"/>
            <w:vMerge w:val="restart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53600,0</w:t>
            </w: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vMerge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E0" w:rsidRPr="00090E36" w:rsidTr="00D42054">
        <w:tc>
          <w:tcPr>
            <w:tcW w:w="6204" w:type="dxa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BB12E0" w:rsidRPr="00090E36" w:rsidRDefault="00BB12E0" w:rsidP="00D420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BB12E0" w:rsidRPr="00090E36" w:rsidRDefault="00BB12E0" w:rsidP="00D420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2E0" w:rsidRPr="00090E36" w:rsidRDefault="00BB12E0" w:rsidP="00BB12E0">
      <w:pPr>
        <w:rPr>
          <w:rFonts w:ascii="Times New Roman" w:hAnsi="Times New Roman" w:cs="Times New Roman"/>
          <w:sz w:val="24"/>
          <w:szCs w:val="24"/>
        </w:rPr>
      </w:pPr>
    </w:p>
    <w:p w:rsidR="00BB12E0" w:rsidRPr="00090E36" w:rsidRDefault="00BB12E0" w:rsidP="00BB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</w:t>
      </w:r>
    </w:p>
    <w:p w:rsidR="00BB12E0" w:rsidRPr="00090E36" w:rsidRDefault="00BB12E0" w:rsidP="00BB12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BB12E0" w:rsidRPr="00090E36" w:rsidSect="00FF171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090E36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42" w:name="_GoBack"/>
      <w:bookmarkEnd w:id="42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Дэ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1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4896"/>
    <w:rsid w:val="000876DD"/>
    <w:rsid w:val="00090E36"/>
    <w:rsid w:val="000B0203"/>
    <w:rsid w:val="000C09A0"/>
    <w:rsid w:val="000E0BF1"/>
    <w:rsid w:val="00102862"/>
    <w:rsid w:val="0012093E"/>
    <w:rsid w:val="00177886"/>
    <w:rsid w:val="001B50DE"/>
    <w:rsid w:val="001D21C7"/>
    <w:rsid w:val="001D3462"/>
    <w:rsid w:val="001F0DAF"/>
    <w:rsid w:val="00227699"/>
    <w:rsid w:val="00227A82"/>
    <w:rsid w:val="00233FEE"/>
    <w:rsid w:val="00271EBE"/>
    <w:rsid w:val="002B2A34"/>
    <w:rsid w:val="002E71E6"/>
    <w:rsid w:val="002F2C55"/>
    <w:rsid w:val="003177C8"/>
    <w:rsid w:val="00363C32"/>
    <w:rsid w:val="003C6570"/>
    <w:rsid w:val="003D610D"/>
    <w:rsid w:val="00404936"/>
    <w:rsid w:val="004638CB"/>
    <w:rsid w:val="004D0FED"/>
    <w:rsid w:val="005024F2"/>
    <w:rsid w:val="0052226E"/>
    <w:rsid w:val="005C53D1"/>
    <w:rsid w:val="005C687D"/>
    <w:rsid w:val="00660413"/>
    <w:rsid w:val="00663A83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C551D"/>
    <w:rsid w:val="008F019E"/>
    <w:rsid w:val="009260EF"/>
    <w:rsid w:val="0093153A"/>
    <w:rsid w:val="00936D8C"/>
    <w:rsid w:val="00986477"/>
    <w:rsid w:val="009E4949"/>
    <w:rsid w:val="00A4346B"/>
    <w:rsid w:val="00A4520A"/>
    <w:rsid w:val="00A53D11"/>
    <w:rsid w:val="00AA32FE"/>
    <w:rsid w:val="00AB01C3"/>
    <w:rsid w:val="00AB5922"/>
    <w:rsid w:val="00B0435E"/>
    <w:rsid w:val="00B07FA6"/>
    <w:rsid w:val="00B25088"/>
    <w:rsid w:val="00B80596"/>
    <w:rsid w:val="00B901F9"/>
    <w:rsid w:val="00BA0A0A"/>
    <w:rsid w:val="00BB12E0"/>
    <w:rsid w:val="00BB4962"/>
    <w:rsid w:val="00BD64E8"/>
    <w:rsid w:val="00BE43F0"/>
    <w:rsid w:val="00C36E4B"/>
    <w:rsid w:val="00C44412"/>
    <w:rsid w:val="00CD44A7"/>
    <w:rsid w:val="00CE14D2"/>
    <w:rsid w:val="00D075A4"/>
    <w:rsid w:val="00D42054"/>
    <w:rsid w:val="00D62F34"/>
    <w:rsid w:val="00DE74A6"/>
    <w:rsid w:val="00E0656A"/>
    <w:rsid w:val="00E07E62"/>
    <w:rsid w:val="00E27CE7"/>
    <w:rsid w:val="00E56859"/>
    <w:rsid w:val="00ED5A33"/>
    <w:rsid w:val="00F56953"/>
    <w:rsid w:val="00F82A91"/>
    <w:rsid w:val="00F831F7"/>
    <w:rsid w:val="00F84D0D"/>
    <w:rsid w:val="00F87604"/>
    <w:rsid w:val="00FC1769"/>
    <w:rsid w:val="00FC4A00"/>
    <w:rsid w:val="00FD1212"/>
    <w:rsid w:val="00FD418B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7165-A57D-43DE-9E43-87559DEE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49</Pages>
  <Words>12053</Words>
  <Characters>68705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75</cp:revision>
  <cp:lastPrinted>2017-02-01T13:49:00Z</cp:lastPrinted>
  <dcterms:created xsi:type="dcterms:W3CDTF">2016-01-29T11:05:00Z</dcterms:created>
  <dcterms:modified xsi:type="dcterms:W3CDTF">2017-02-20T08:05:00Z</dcterms:modified>
</cp:coreProperties>
</file>